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cs="Calibri"/>
          <w:b/>
          <w:sz w:val="32"/>
        </w:rPr>
        <w:t>Seminario</w:t>
      </w:r>
      <w:r>
        <w:rPr>
          <w:rFonts w:cs="Calibri"/>
          <w:sz w:val="32"/>
        </w:rPr>
        <w:t xml:space="preserve"> </w:t>
      </w:r>
    </w:p>
    <w:p>
      <w:pPr>
        <w:pStyle w:val="style0"/>
        <w:jc w:val="center"/>
      </w:pPr>
      <w:r>
        <w:rPr>
          <w:rFonts w:cs="Calibri"/>
          <w:i/>
          <w:sz w:val="32"/>
        </w:rPr>
        <w:t>Poder, identidad y subjetividad</w:t>
      </w:r>
    </w:p>
    <w:p>
      <w:pPr>
        <w:pStyle w:val="style0"/>
        <w:spacing w:after="0" w:before="0"/>
        <w:jc w:val="center"/>
      </w:pPr>
      <w:r>
        <w:rPr>
          <w:rFonts w:cs="Calibri"/>
        </w:rPr>
        <w:t>Dra. María Alejandra Ciuffolini</w:t>
      </w:r>
    </w:p>
    <w:p>
      <w:pPr>
        <w:pStyle w:val="style0"/>
        <w:jc w:val="center"/>
      </w:pPr>
      <w:r>
        <w:rPr>
          <w:rFonts w:cs="Calibri"/>
        </w:rPr>
        <w:t>Universidad Nacional de Córdoba, Argentina</w:t>
      </w:r>
    </w:p>
    <w:p>
      <w:pPr>
        <w:pStyle w:val="style0"/>
      </w:pPr>
      <w:r>
        <w:rPr>
          <w:rFonts w:cs="Calibri"/>
        </w:rPr>
      </w:r>
    </w:p>
    <w:p>
      <w:pPr>
        <w:pStyle w:val="style0"/>
        <w:shd w:fill="D9D9D9" w:val="clear"/>
      </w:pPr>
      <w:r>
        <w:rPr>
          <w:rFonts w:cs="Calibri"/>
          <w:b/>
        </w:rPr>
        <w:t>Fundamentos</w:t>
      </w:r>
      <w:r>
        <w:rPr>
          <w:rFonts w:cs="Calibri"/>
        </w:rPr>
        <w:t>:</w:t>
      </w:r>
    </w:p>
    <w:p>
      <w:pPr>
        <w:pStyle w:val="style0"/>
        <w:spacing w:after="0" w:before="0"/>
        <w:jc w:val="both"/>
      </w:pPr>
      <w:r>
        <w:rPr>
          <w:rFonts w:cs="Calibri"/>
        </w:rPr>
        <w:t xml:space="preserve">K. Marx señaló clara y precisamente al capital como una “relación social” producto de la crisis del poder jerárquico moderno y también advirtió sobre la necesidad de leer los procesos constituyentes de subjetividad desde las “luchas”. Max Weber (1973), por su parte insiste en la presencia hegemónica de la racionalidad instrumental y la secularización del mundo como instancias que provocan una experiencia colectiva de desencanto y conllevan amenazas y tensiones para la identidad. Una porción importante de la bibliografía distingue entre identidad personal, identidad social o cultural e identidad sistémica (Erikson, 1968); y define a las relaciones y contradicciones que entre ellas surgen, como el campo privilegiado de constitución de la identidad personal. Pues aquí la identidad se configura en la intersección de los imperativos surgidos de ámbitos sistémicamente organizados y los valores y prácticas compartidos -identidad social y cultural- (Parsons, 1966; Habermas, 1990; Giddens, 1991). </w:t>
      </w:r>
      <w:r>
        <w:rPr>
          <w:rFonts w:cs="Calibri"/>
          <w:sz w:val="24"/>
          <w:szCs w:val="24"/>
        </w:rPr>
        <w:t>Este resurgimiento temático de la identidad y la subjetividad ha sido activado y es una reacción a la prédica del neoliberalismo y su individuo consumista, atómico y racional; cuya expresión en América Latina solo condensa de manera parcial y para una minoría. Cuando retroceden los ensayos neoliberales, hacia fines de los años 90, en varios países de la región avanzan proyectos populistas y nacionalismos de izquierda. El nuevo espacio político abierto ha habilitado el surgimiento de nuevas y viejas identidades y/o subjetividades, con la consiguiente constitución de un campo atravesado por luchas y movimientos que pugnan por transformaciones diversas.</w:t>
      </w:r>
    </w:p>
    <w:p>
      <w:pPr>
        <w:pStyle w:val="style0"/>
        <w:spacing w:after="0" w:before="0"/>
        <w:jc w:val="both"/>
      </w:pPr>
      <w:r>
        <w:rPr>
          <w:rFonts w:cs="Calibri"/>
          <w:sz w:val="24"/>
          <w:szCs w:val="24"/>
        </w:rPr>
      </w:r>
    </w:p>
    <w:p>
      <w:pPr>
        <w:pStyle w:val="style34"/>
        <w:shd w:fill="D9D9D9" w:val="clear"/>
        <w:spacing w:after="28" w:before="28"/>
      </w:pPr>
      <w:r>
        <w:rPr>
          <w:rFonts w:ascii="Calibri" w:cs="Calibri" w:hAnsi="Calibri"/>
          <w:b/>
        </w:rPr>
        <w:t>Dimensiones de trabajo y organización del seminario</w:t>
      </w:r>
    </w:p>
    <w:tbl>
      <w:tblPr>
        <w:jc w:val="left"/>
        <w:tblBorders/>
        <w:tblInd w:type="dxa" w:w="-108"/>
      </w:tblPr>
      <w:tblGrid>
        <w:gridCol w:w="1383"/>
        <w:gridCol w:w="7594"/>
      </w:tblGrid>
      <w:tr>
        <w:trPr>
          <w:cantSplit w:val="false"/>
        </w:trPr>
        <w:tc>
          <w:tcPr>
            <w:tcW w:type="dxa" w:w="1383"/>
            <w:tcBorders/>
            <w:shd w:fill="auto" w:val="clear"/>
            <w:tcMar>
              <w:top w:type="dxa" w:w="0"/>
              <w:left w:type="dxa" w:w="108"/>
              <w:bottom w:type="dxa" w:w="0"/>
              <w:right w:type="dxa" w:w="108"/>
            </w:tcMar>
          </w:tcPr>
          <w:p>
            <w:pPr>
              <w:pStyle w:val="style34"/>
              <w:spacing w:after="28" w:before="28"/>
            </w:pPr>
            <w:r>
              <w:rPr>
                <w:rFonts w:ascii="Calibri" w:cs="Calibri" w:hAnsi="Calibri"/>
                <w:b/>
              </w:rPr>
              <w:t>Sesion I</w:t>
            </w:r>
          </w:p>
        </w:tc>
        <w:tc>
          <w:tcPr>
            <w:tcW w:type="dxa" w:w="7594"/>
            <w:tcBorders/>
            <w:shd w:fill="auto" w:val="clear"/>
            <w:tcMar>
              <w:top w:type="dxa" w:w="0"/>
              <w:left w:type="dxa" w:w="108"/>
              <w:bottom w:type="dxa" w:w="0"/>
              <w:right w:type="dxa" w:w="108"/>
            </w:tcMar>
          </w:tcPr>
          <w:p>
            <w:pPr>
              <w:pStyle w:val="style34"/>
              <w:shd w:fill="D9D9D9" w:val="clear"/>
              <w:spacing w:after="28" w:before="28"/>
            </w:pPr>
            <w:r>
              <w:rPr>
                <w:rFonts w:ascii="Calibri" w:cs="Calibri" w:hAnsi="Calibri"/>
                <w:b/>
              </w:rPr>
              <w:t>Título</w:t>
            </w:r>
            <w:r>
              <w:rPr>
                <w:rFonts w:ascii="Calibri" w:cs="Calibri" w:hAnsi="Calibri"/>
              </w:rPr>
              <w:t xml:space="preserve">: </w:t>
            </w:r>
            <w:bookmarkStart w:id="0" w:name="__DdeLink__270_826537754"/>
            <w:bookmarkEnd w:id="0"/>
            <w:r>
              <w:rPr>
                <w:rFonts w:ascii="Calibri" w:cs="Calibri" w:hAnsi="Calibri"/>
              </w:rPr>
              <w:t>Poder, biopoder y biopolítica</w:t>
            </w:r>
          </w:p>
          <w:p>
            <w:pPr>
              <w:pStyle w:val="style34"/>
              <w:spacing w:after="28" w:before="28"/>
            </w:pPr>
            <w:r>
              <w:rPr>
                <w:rFonts w:ascii="Calibri" w:cs="Calibri" w:hAnsi="Calibri"/>
                <w:b/>
              </w:rPr>
              <w:t>Texto para el debate</w:t>
            </w:r>
            <w:r>
              <w:rPr>
                <w:rFonts w:ascii="Calibri" w:cs="Calibri" w:hAnsi="Calibri"/>
              </w:rPr>
              <w:t xml:space="preserve">: </w:t>
            </w:r>
          </w:p>
          <w:p>
            <w:pPr>
              <w:pStyle w:val="style34"/>
              <w:spacing w:after="28" w:before="28"/>
            </w:pPr>
            <w:r>
              <w:rPr>
                <w:rFonts w:ascii="Calibri" w:cs="Calibri" w:hAnsi="Calibri"/>
              </w:rPr>
              <w:t xml:space="preserve">Lazzarato, m. (2000) </w:t>
            </w:r>
            <w:r>
              <w:rPr>
                <w:rFonts w:ascii="Calibri" w:cs="Calibri" w:hAnsi="Calibri"/>
                <w:iCs/>
              </w:rPr>
              <w:t>"Del biopoder a la bipolítica"</w:t>
            </w:r>
            <w:r>
              <w:rPr>
                <w:rFonts w:ascii="Calibri" w:cs="Calibri" w:hAnsi="Calibri"/>
              </w:rPr>
              <w:t xml:space="preserve">. Recuperado el 29 de Octubre de 2007, de Revista Multitudes: </w:t>
            </w:r>
            <w:hyperlink r:id="rId2">
              <w:r>
                <w:rPr>
                  <w:rStyle w:val="style27"/>
                  <w:rFonts w:ascii="Calibri" w:cs="Calibri" w:hAnsi="Calibri"/>
                </w:rPr>
                <w:t>http://www.sindominio.net/arkitzean/otrascosas/lazzarato.htm</w:t>
              </w:r>
            </w:hyperlink>
          </w:p>
          <w:p>
            <w:pPr>
              <w:pStyle w:val="style34"/>
              <w:spacing w:after="28" w:before="28"/>
            </w:pPr>
            <w:r>
              <w:rPr>
                <w:rFonts w:ascii="Calibri" w:cs="Calibri" w:hAnsi="Calibri"/>
                <w:b/>
              </w:rPr>
              <w:t>Bibliografía de Consulta</w:t>
            </w:r>
            <w:r>
              <w:rPr>
                <w:rFonts w:ascii="Calibri" w:cs="Calibri" w:hAnsi="Calibri"/>
              </w:rPr>
              <w:t>:</w:t>
            </w:r>
          </w:p>
          <w:p>
            <w:pPr>
              <w:pStyle w:val="style36"/>
              <w:spacing w:line="276" w:lineRule="auto"/>
              <w:jc w:val="both"/>
            </w:pPr>
            <w:r>
              <w:rPr>
                <w:rFonts w:ascii="Calibri" w:cs="Calibri" w:hAnsi="Calibri"/>
                <w:lang w:val="es-ES"/>
              </w:rPr>
              <w:t xml:space="preserve">Foucault, M. (2007). </w:t>
            </w:r>
            <w:r>
              <w:rPr>
                <w:rFonts w:ascii="Calibri" w:cs="Calibri" w:hAnsi="Calibri"/>
                <w:i/>
                <w:iCs/>
                <w:lang w:val="es-ES"/>
              </w:rPr>
              <w:t>Seguridad, territorio, población</w:t>
            </w:r>
            <w:r>
              <w:rPr>
                <w:rFonts w:ascii="Calibri" w:cs="Calibri" w:hAnsi="Calibri"/>
                <w:lang w:val="es-ES"/>
              </w:rPr>
              <w:t xml:space="preserve"> (2006 ed.). (H. Pons, Trad.) Buenos Aires, Argentina: FCE.</w:t>
            </w:r>
          </w:p>
          <w:p>
            <w:pPr>
              <w:pStyle w:val="style0"/>
              <w:spacing w:after="0" w:before="0"/>
              <w:jc w:val="both"/>
            </w:pPr>
            <w:r>
              <w:rPr>
                <w:rFonts w:cs="Calibri"/>
                <w:sz w:val="24"/>
                <w:szCs w:val="24"/>
              </w:rPr>
              <w:t>Foucault, Michel: (1992) “Las redes del poder”. Ed. Almagesto. Bs. As.</w:t>
            </w:r>
          </w:p>
          <w:p>
            <w:pPr>
              <w:pStyle w:val="style0"/>
              <w:tabs>
                <w:tab w:leader="none" w:pos="720" w:val="left"/>
              </w:tabs>
              <w:spacing w:after="95" w:before="1" w:line="100" w:lineRule="atLeast"/>
              <w:ind w:hanging="0" w:left="0" w:right="18"/>
            </w:pPr>
            <w:r>
              <w:rPr>
                <w:rFonts w:cs="Calibri"/>
                <w:sz w:val="24"/>
                <w:szCs w:val="20"/>
                <w:lang w:eastAsia="es-ES" w:val="es-ES"/>
              </w:rPr>
              <w:t>CAVALLETTI, A. (2010) Mitología de la seguridad. La ciudad biopolítica. Adriana Hidalgo Editora. Bs. As.</w:t>
            </w:r>
          </w:p>
          <w:p>
            <w:pPr>
              <w:pStyle w:val="style0"/>
              <w:tabs>
                <w:tab w:leader="none" w:pos="720" w:val="left"/>
              </w:tabs>
              <w:spacing w:after="95" w:before="1" w:line="100" w:lineRule="atLeast"/>
              <w:ind w:hanging="0" w:left="0" w:right="18"/>
            </w:pPr>
            <w:r>
              <w:rPr>
                <w:rFonts w:cs="Calibri"/>
                <w:sz w:val="24"/>
                <w:szCs w:val="20"/>
                <w:lang w:eastAsia="es-ES" w:val="es-ES"/>
              </w:rPr>
              <w:t xml:space="preserve">ESPOSITO, R. (2009) Comunidad, inmunidad y biopolítica. Ed. Herder. </w:t>
            </w:r>
            <w:r>
              <w:rPr>
                <w:rFonts w:cs="Calibri"/>
                <w:sz w:val="24"/>
                <w:szCs w:val="20"/>
                <w:u w:val="dottedHeavy"/>
                <w:lang w:eastAsia="es-ES" w:val="es-ES"/>
              </w:rPr>
              <w:t>España</w:t>
            </w:r>
            <w:r>
              <w:rPr>
                <w:rFonts w:cs="Calibri"/>
                <w:sz w:val="24"/>
                <w:szCs w:val="20"/>
                <w:u w:val="none"/>
                <w:lang w:eastAsia="es-ES" w:val="es-ES"/>
              </w:rPr>
              <w:t>.</w:t>
            </w:r>
          </w:p>
          <w:p>
            <w:pPr>
              <w:pStyle w:val="style0"/>
              <w:spacing w:after="0" w:before="0"/>
              <w:jc w:val="both"/>
            </w:pPr>
            <w:r>
              <w:rPr>
                <w:rFonts w:cs="Calibri"/>
                <w:sz w:val="24"/>
                <w:szCs w:val="20"/>
                <w:u w:val="none"/>
                <w:lang w:eastAsia="es-ES" w:val="es-ES"/>
              </w:rPr>
              <w:t xml:space="preserve">AGAMBEN, G. (2010) Homo sacer. El poder soberano y la nuda vida. Ed. Pre-textos. </w:t>
            </w:r>
            <w:r>
              <w:rPr>
                <w:rFonts w:cs="Calibri"/>
                <w:sz w:val="24"/>
                <w:szCs w:val="20"/>
                <w:u w:val="dottedHeavy"/>
                <w:lang w:eastAsia="es-ES" w:val="es-ES"/>
              </w:rPr>
              <w:t>Madrid</w:t>
            </w:r>
            <w:r>
              <w:rPr>
                <w:rFonts w:cs="Calibri"/>
                <w:sz w:val="24"/>
                <w:szCs w:val="20"/>
                <w:u w:val="none"/>
                <w:lang w:eastAsia="es-ES" w:val="es-ES"/>
              </w:rPr>
              <w:t>.</w:t>
            </w:r>
          </w:p>
        </w:tc>
      </w:tr>
      <w:tr>
        <w:trPr>
          <w:cantSplit w:val="false"/>
        </w:trPr>
        <w:tc>
          <w:tcPr>
            <w:tcW w:type="dxa" w:w="1383"/>
            <w:tcBorders/>
            <w:shd w:fill="auto" w:val="clear"/>
            <w:tcMar>
              <w:top w:type="dxa" w:w="0"/>
              <w:left w:type="dxa" w:w="108"/>
              <w:bottom w:type="dxa" w:w="0"/>
              <w:right w:type="dxa" w:w="108"/>
            </w:tcMar>
          </w:tcPr>
          <w:p>
            <w:pPr>
              <w:pStyle w:val="style34"/>
              <w:spacing w:after="28" w:before="28"/>
            </w:pPr>
            <w:r>
              <w:rPr>
                <w:rFonts w:ascii="Calibri" w:cs="Calibri" w:hAnsi="Calibri"/>
                <w:b/>
              </w:rPr>
              <w:t>Sesion II</w:t>
            </w:r>
          </w:p>
        </w:tc>
        <w:tc>
          <w:tcPr>
            <w:tcW w:type="dxa" w:w="7594"/>
            <w:tcBorders/>
            <w:shd w:fill="auto" w:val="clear"/>
            <w:tcMar>
              <w:top w:type="dxa" w:w="0"/>
              <w:left w:type="dxa" w:w="108"/>
              <w:bottom w:type="dxa" w:w="0"/>
              <w:right w:type="dxa" w:w="108"/>
            </w:tcMar>
          </w:tcPr>
          <w:p>
            <w:pPr>
              <w:pStyle w:val="style34"/>
              <w:shd w:fill="D9D9D9" w:val="clear"/>
              <w:spacing w:after="28" w:before="28"/>
            </w:pPr>
            <w:r>
              <w:rPr>
                <w:rFonts w:ascii="Calibri" w:cs="Calibri" w:hAnsi="Calibri"/>
                <w:b/>
              </w:rPr>
              <w:t>Título</w:t>
            </w:r>
            <w:r>
              <w:rPr>
                <w:rFonts w:ascii="Calibri" w:cs="Calibri" w:hAnsi="Calibri"/>
              </w:rPr>
              <w:t>: Identidad o Subjetividad</w:t>
            </w:r>
          </w:p>
          <w:p>
            <w:pPr>
              <w:pStyle w:val="style34"/>
              <w:spacing w:after="28" w:before="28"/>
            </w:pPr>
            <w:r>
              <w:rPr>
                <w:rFonts w:ascii="Calibri" w:cs="Calibri" w:hAnsi="Calibri"/>
                <w:b/>
              </w:rPr>
              <w:t>Texto para el debate</w:t>
            </w:r>
            <w:r>
              <w:rPr>
                <w:rFonts w:ascii="Calibri" w:cs="Calibri" w:hAnsi="Calibri"/>
              </w:rPr>
              <w:t xml:space="preserve">: </w:t>
            </w:r>
          </w:p>
          <w:p>
            <w:pPr>
              <w:pStyle w:val="style34"/>
              <w:spacing w:after="28" w:before="28"/>
            </w:pPr>
            <w:r>
              <w:rPr>
                <w:rFonts w:ascii="Calibri" w:cs="Calibri" w:hAnsi="Calibri"/>
              </w:rPr>
              <w:t xml:space="preserve">CIUFFOLINI, M.A. (2011) </w:t>
            </w:r>
            <w:r>
              <w:rPr>
                <w:rFonts w:ascii="Calibri" w:cs="Calibri" w:hAnsi="Calibri"/>
                <w:i/>
              </w:rPr>
              <w:t xml:space="preserve">“Subjetivación y política”, </w:t>
            </w:r>
            <w:r>
              <w:rPr>
                <w:rFonts w:ascii="Calibri" w:cs="Calibri" w:hAnsi="Calibri"/>
              </w:rPr>
              <w:t>en Resistencias. EDUCC, Córdoba.</w:t>
            </w:r>
          </w:p>
          <w:p>
            <w:pPr>
              <w:pStyle w:val="style34"/>
              <w:spacing w:after="28" w:before="28"/>
            </w:pPr>
            <w:r>
              <w:rPr>
                <w:rFonts w:ascii="Calibri" w:cs="Calibri" w:hAnsi="Calibri"/>
                <w:b/>
              </w:rPr>
              <w:t>Bibliografía de Consulta</w:t>
            </w:r>
            <w:r>
              <w:rPr>
                <w:rFonts w:ascii="Calibri" w:cs="Calibri" w:hAnsi="Calibri"/>
              </w:rPr>
              <w:t>:</w:t>
            </w:r>
          </w:p>
          <w:p>
            <w:pPr>
              <w:pStyle w:val="style0"/>
              <w:tabs>
                <w:tab w:leader="none" w:pos="720" w:val="left"/>
              </w:tabs>
              <w:spacing w:after="95" w:before="1" w:line="100" w:lineRule="atLeast"/>
              <w:ind w:hanging="0" w:left="0" w:right="18"/>
              <w:jc w:val="both"/>
            </w:pPr>
            <w:r>
              <w:rPr>
                <w:rFonts w:cs="Calibri"/>
                <w:sz w:val="24"/>
                <w:szCs w:val="24"/>
              </w:rPr>
              <w:t xml:space="preserve">QUIJANO, A. (1988): </w:t>
            </w:r>
            <w:r>
              <w:rPr>
                <w:rStyle w:val="style19"/>
                <w:rFonts w:cs="Calibri"/>
                <w:sz w:val="24"/>
                <w:szCs w:val="24"/>
              </w:rPr>
              <w:t>Modernidad, identidad y utopía en América latina</w:t>
            </w:r>
            <w:r>
              <w:rPr>
                <w:rFonts w:cs="Calibri"/>
                <w:sz w:val="24"/>
                <w:szCs w:val="24"/>
              </w:rPr>
              <w:t>. Lima.</w:t>
            </w:r>
          </w:p>
          <w:p>
            <w:pPr>
              <w:pStyle w:val="style0"/>
              <w:tabs>
                <w:tab w:leader="none" w:pos="720" w:val="left"/>
              </w:tabs>
              <w:spacing w:after="95" w:before="1" w:line="100" w:lineRule="atLeast"/>
              <w:ind w:hanging="0" w:left="0" w:right="18"/>
              <w:jc w:val="both"/>
            </w:pPr>
            <w:r>
              <w:rPr>
                <w:rFonts w:cs="Calibri"/>
              </w:rPr>
              <w:t xml:space="preserve">RANCIERE, Jacques (2006) </w:t>
            </w:r>
            <w:r>
              <w:rPr>
                <w:rFonts w:cs="Calibri"/>
                <w:i/>
              </w:rPr>
              <w:t>Política, policía, democracia.</w:t>
            </w:r>
            <w:r>
              <w:rPr>
                <w:rFonts w:cs="Calibri"/>
              </w:rPr>
              <w:t xml:space="preserve"> Santiago: Ediciones Lom.</w:t>
            </w:r>
          </w:p>
          <w:p>
            <w:pPr>
              <w:pStyle w:val="style0"/>
              <w:tabs>
                <w:tab w:leader="none" w:pos="720" w:val="left"/>
              </w:tabs>
              <w:spacing w:after="95" w:before="1" w:line="100" w:lineRule="atLeast"/>
              <w:ind w:hanging="0" w:left="0" w:right="18"/>
              <w:jc w:val="both"/>
            </w:pPr>
            <w:r>
              <w:rPr>
                <w:rFonts w:cs="Calibri"/>
                <w:sz w:val="24"/>
                <w:szCs w:val="24"/>
              </w:rPr>
              <w:t>ZIZEK, S. (1991) “Identidad e identificación”, en El sublime objeto de la ideología, México.</w:t>
            </w:r>
          </w:p>
        </w:tc>
      </w:tr>
      <w:tr>
        <w:trPr>
          <w:cantSplit w:val="false"/>
        </w:trPr>
        <w:tc>
          <w:tcPr>
            <w:tcW w:type="dxa" w:w="1383"/>
            <w:tcBorders/>
            <w:shd w:fill="auto" w:val="clear"/>
            <w:tcMar>
              <w:top w:type="dxa" w:w="0"/>
              <w:left w:type="dxa" w:w="108"/>
              <w:bottom w:type="dxa" w:w="0"/>
              <w:right w:type="dxa" w:w="108"/>
            </w:tcMar>
          </w:tcPr>
          <w:p>
            <w:pPr>
              <w:pStyle w:val="style34"/>
              <w:spacing w:after="28" w:before="28"/>
            </w:pPr>
            <w:r>
              <w:rPr>
                <w:rFonts w:ascii="Calibri" w:cs="Calibri" w:hAnsi="Calibri"/>
                <w:b/>
              </w:rPr>
              <w:t>Sesion III</w:t>
            </w:r>
          </w:p>
        </w:tc>
        <w:tc>
          <w:tcPr>
            <w:tcW w:type="dxa" w:w="7594"/>
            <w:tcBorders/>
            <w:shd w:fill="auto" w:val="clear"/>
            <w:tcMar>
              <w:top w:type="dxa" w:w="0"/>
              <w:left w:type="dxa" w:w="108"/>
              <w:bottom w:type="dxa" w:w="0"/>
              <w:right w:type="dxa" w:w="108"/>
            </w:tcMar>
          </w:tcPr>
          <w:p>
            <w:pPr>
              <w:pStyle w:val="style34"/>
              <w:shd w:fill="D9D9D9" w:val="clear"/>
              <w:spacing w:after="28" w:before="28"/>
            </w:pPr>
            <w:r>
              <w:rPr>
                <w:rFonts w:ascii="Calibri" w:cs="Calibri" w:hAnsi="Calibri"/>
                <w:b/>
              </w:rPr>
              <w:t>Título</w:t>
            </w:r>
            <w:r>
              <w:rPr>
                <w:rFonts w:ascii="Calibri" w:cs="Calibri" w:hAnsi="Calibri"/>
              </w:rPr>
              <w:t>: Las relaciones entre identidades y/o subjetividades y la emergencia de luchas por el reconocimiento</w:t>
            </w:r>
          </w:p>
          <w:p>
            <w:pPr>
              <w:pStyle w:val="style34"/>
              <w:spacing w:after="28" w:before="28"/>
            </w:pPr>
            <w:r>
              <w:rPr>
                <w:rFonts w:ascii="Calibri" w:cs="Calibri" w:hAnsi="Calibri"/>
                <w:b/>
              </w:rPr>
              <w:t>Texto para el debate</w:t>
            </w:r>
            <w:r>
              <w:rPr>
                <w:rFonts w:ascii="Calibri" w:cs="Calibri" w:hAnsi="Calibri"/>
              </w:rPr>
              <w:t xml:space="preserve">: </w:t>
            </w:r>
          </w:p>
          <w:p>
            <w:pPr>
              <w:pStyle w:val="style34"/>
              <w:spacing w:after="28" w:before="28"/>
              <w:jc w:val="both"/>
            </w:pPr>
            <w:r>
              <w:rPr>
                <w:rFonts w:ascii="Calibri" w:cs="Calibri" w:hAnsi="Calibri"/>
              </w:rPr>
              <w:t>Ciuffolini, M.A. (2008)</w:t>
            </w:r>
            <w:r>
              <w:rPr>
                <w:rFonts w:ascii="Calibri" w:cs="Calibri" w:hAnsi="Calibri"/>
                <w:i/>
              </w:rPr>
              <w:t xml:space="preserve">  “pensando el presente. Una construcción de herramientas conceptuales para comprender las luchas sociales”, </w:t>
            </w:r>
            <w:r>
              <w:rPr>
                <w:rFonts w:ascii="Calibri" w:cs="Calibri" w:hAnsi="Calibri"/>
              </w:rPr>
              <w:t>en En el llano todo quema: movimientos y luchas urbanas y campesinas en la córdoba de hoy. EDUCC, Córdoba.</w:t>
            </w:r>
          </w:p>
          <w:p>
            <w:pPr>
              <w:pStyle w:val="style0"/>
              <w:spacing w:after="0" w:before="0"/>
              <w:jc w:val="both"/>
            </w:pPr>
            <w:r>
              <w:rPr>
                <w:rFonts w:cs="Calibri"/>
              </w:rPr>
            </w:r>
          </w:p>
          <w:p>
            <w:pPr>
              <w:pStyle w:val="style0"/>
              <w:spacing w:after="0" w:before="0"/>
              <w:jc w:val="both"/>
            </w:pPr>
            <w:r>
              <w:rPr>
                <w:rFonts w:cs="Calibri"/>
                <w:b/>
                <w:sz w:val="24"/>
              </w:rPr>
              <w:t>Bibliografía de Consulta</w:t>
            </w:r>
            <w:r>
              <w:rPr>
                <w:rFonts w:cs="Calibri"/>
                <w:b/>
                <w:sz w:val="28"/>
                <w:szCs w:val="24"/>
              </w:rPr>
              <w:t xml:space="preserve"> </w:t>
            </w:r>
          </w:p>
          <w:p>
            <w:pPr>
              <w:pStyle w:val="style0"/>
              <w:spacing w:after="0" w:before="0"/>
              <w:jc w:val="both"/>
            </w:pPr>
            <w:r>
              <w:rPr>
                <w:rFonts w:cs="Calibri"/>
              </w:rPr>
              <w:t xml:space="preserve">CHATTERJEE, Partha (2008) </w:t>
            </w:r>
            <w:r>
              <w:rPr>
                <w:rFonts w:cs="Calibri"/>
                <w:i/>
              </w:rPr>
              <w:t>La nación en tiempo heterogéneo y otros estudios subalternos.</w:t>
            </w:r>
            <w:r>
              <w:rPr>
                <w:rFonts w:cs="Calibri"/>
              </w:rPr>
              <w:t xml:space="preserve"> Buenos Aires: Siglo Veintiuno.</w:t>
            </w:r>
          </w:p>
          <w:p>
            <w:pPr>
              <w:pStyle w:val="style0"/>
              <w:spacing w:after="0" w:before="0"/>
              <w:jc w:val="both"/>
            </w:pPr>
            <w:r>
              <w:rPr>
                <w:rFonts w:cs="Calibri"/>
                <w:sz w:val="24"/>
                <w:szCs w:val="24"/>
              </w:rPr>
              <w:t xml:space="preserve">MELUCCI, Antonio (1994) “Asumir un compromiso: identidad y movilización en los movimientos sociales”. Zona Abierta 69: 153-180. </w:t>
            </w:r>
          </w:p>
          <w:p>
            <w:pPr>
              <w:pStyle w:val="style0"/>
              <w:spacing w:after="0" w:before="0"/>
              <w:jc w:val="both"/>
            </w:pPr>
            <w:r>
              <w:rPr>
                <w:rFonts w:cs="Calibri"/>
              </w:rPr>
              <w:t>MODONESI, M. y REBÓN, J. (2011) Una década en movimiento. Luchas populares en América Latina en el amanecer del siglo XXI. Clacso, Bs. As.</w:t>
            </w:r>
          </w:p>
        </w:tc>
      </w:tr>
      <w:tr>
        <w:trPr>
          <w:cantSplit w:val="false"/>
        </w:trPr>
        <w:tc>
          <w:tcPr>
            <w:tcW w:type="dxa" w:w="1383"/>
            <w:tcBorders/>
            <w:shd w:fill="auto" w:val="clear"/>
            <w:tcMar>
              <w:top w:type="dxa" w:w="0"/>
              <w:left w:type="dxa" w:w="108"/>
              <w:bottom w:type="dxa" w:w="0"/>
              <w:right w:type="dxa" w:w="108"/>
            </w:tcMar>
          </w:tcPr>
          <w:p>
            <w:pPr>
              <w:pStyle w:val="style34"/>
              <w:spacing w:after="28" w:before="28"/>
            </w:pPr>
            <w:r>
              <w:rPr>
                <w:rFonts w:ascii="Calibri" w:cs="Calibri" w:hAnsi="Calibri"/>
                <w:b/>
              </w:rPr>
              <w:t>Sesion IV</w:t>
            </w:r>
          </w:p>
        </w:tc>
        <w:tc>
          <w:tcPr>
            <w:tcW w:type="dxa" w:w="7594"/>
            <w:tcBorders/>
            <w:shd w:fill="auto" w:val="clear"/>
            <w:tcMar>
              <w:top w:type="dxa" w:w="0"/>
              <w:left w:type="dxa" w:w="108"/>
              <w:bottom w:type="dxa" w:w="0"/>
              <w:right w:type="dxa" w:w="108"/>
            </w:tcMar>
          </w:tcPr>
          <w:p>
            <w:pPr>
              <w:pStyle w:val="style34"/>
              <w:shd w:fill="D9D9D9" w:val="clear"/>
              <w:spacing w:after="28" w:before="28"/>
            </w:pPr>
            <w:r>
              <w:rPr>
                <w:rFonts w:ascii="Calibri" w:cs="Calibri" w:hAnsi="Calibri"/>
                <w:b/>
              </w:rPr>
              <w:t>Título</w:t>
            </w:r>
            <w:r>
              <w:rPr>
                <w:rFonts w:ascii="Calibri" w:cs="Calibri" w:hAnsi="Calibri"/>
              </w:rPr>
              <w:t>: Democracia insurgente, micropolíticas de emancipación o Radicalización de la democracia y ensanchamiento de derechos</w:t>
            </w:r>
          </w:p>
          <w:p>
            <w:pPr>
              <w:pStyle w:val="style34"/>
              <w:spacing w:after="28" w:before="28"/>
            </w:pPr>
            <w:r>
              <w:rPr>
                <w:rFonts w:ascii="Calibri" w:cs="Calibri" w:hAnsi="Calibri"/>
                <w:b/>
              </w:rPr>
              <w:t>Texto para el debate</w:t>
            </w:r>
            <w:r>
              <w:rPr>
                <w:rFonts w:ascii="Calibri" w:cs="Calibri" w:hAnsi="Calibri"/>
              </w:rPr>
              <w:t xml:space="preserve">: </w:t>
            </w:r>
          </w:p>
          <w:p>
            <w:pPr>
              <w:pStyle w:val="style34"/>
              <w:spacing w:after="28" w:before="28"/>
            </w:pPr>
            <w:r>
              <w:rPr>
                <w:rFonts w:ascii="Calibri" w:cs="Calibri" w:hAnsi="Calibri"/>
              </w:rPr>
              <w:t>CIUFFOLINI, M.A. (2011)</w:t>
            </w:r>
            <w:r>
              <w:rPr>
                <w:rFonts w:ascii="Calibri" w:cs="Calibri" w:hAnsi="Calibri"/>
                <w:i/>
              </w:rPr>
              <w:t xml:space="preserve"> “la política como impugnación y experimentación” </w:t>
            </w:r>
            <w:r>
              <w:rPr>
                <w:rFonts w:ascii="Calibri" w:cs="Calibri" w:hAnsi="Calibri"/>
              </w:rPr>
              <w:t>en Resistencias. EDUCC, Córdoba.</w:t>
            </w:r>
          </w:p>
          <w:p>
            <w:pPr>
              <w:pStyle w:val="style34"/>
              <w:spacing w:after="28" w:before="28"/>
            </w:pPr>
            <w:r>
              <w:rPr>
                <w:rFonts w:ascii="Calibri" w:cs="Calibri" w:hAnsi="Calibri"/>
              </w:rPr>
            </w:r>
          </w:p>
          <w:p>
            <w:pPr>
              <w:pStyle w:val="style34"/>
              <w:spacing w:after="28" w:before="28"/>
            </w:pPr>
            <w:r>
              <w:rPr>
                <w:rFonts w:ascii="Calibri" w:cs="Calibri" w:hAnsi="Calibri"/>
                <w:b/>
              </w:rPr>
              <w:t>Bibliografía de Consulta</w:t>
            </w:r>
            <w:r>
              <w:rPr>
                <w:rFonts w:ascii="Calibri" w:cs="Calibri" w:hAnsi="Calibri"/>
              </w:rPr>
              <w:t>:</w:t>
            </w:r>
          </w:p>
          <w:p>
            <w:pPr>
              <w:pStyle w:val="style34"/>
              <w:spacing w:after="28" w:before="28"/>
            </w:pPr>
            <w:r>
              <w:rPr>
                <w:rFonts w:ascii="Calibri" w:cs="Calibri" w:hAnsi="Calibri"/>
                <w:lang w:eastAsia="es-ES" w:val="es-ES"/>
              </w:rPr>
              <w:t xml:space="preserve">DIETERICH, Heinz  </w:t>
            </w:r>
            <w:r>
              <w:rPr>
                <w:rFonts w:ascii="Calibri" w:cs="Calibri" w:hAnsi="Calibri"/>
              </w:rPr>
              <w:t xml:space="preserve">(2007) </w:t>
            </w:r>
            <w:r>
              <w:rPr>
                <w:rFonts w:ascii="Calibri" w:cs="Calibri" w:hAnsi="Calibri"/>
                <w:lang w:eastAsia="es-ES" w:val="es-ES"/>
              </w:rPr>
              <w:t xml:space="preserve">El </w:t>
            </w:r>
            <w:r>
              <w:rPr>
                <w:rFonts w:ascii="Calibri" w:cs="Calibri" w:hAnsi="Calibri"/>
              </w:rPr>
              <w:t>Socialismo del siglo XXI en preguntas y respuestas. Capítulo 7 del libro </w:t>
            </w:r>
            <w:r>
              <w:rPr>
                <w:rFonts w:ascii="Calibri" w:cs="Calibri" w:hAnsi="Calibri"/>
                <w:i/>
                <w:iCs/>
              </w:rPr>
              <w:t>Hugo Chávez y el Socialismo del siglo XXI</w:t>
            </w:r>
            <w:r>
              <w:rPr>
                <w:rFonts w:ascii="Calibri" w:cs="Calibri" w:hAnsi="Calibri"/>
              </w:rPr>
              <w:t> . Rebelión: Libros libres.</w:t>
            </w:r>
          </w:p>
          <w:p>
            <w:pPr>
              <w:pStyle w:val="style39"/>
              <w:spacing w:after="28" w:before="28"/>
              <w:jc w:val="both"/>
            </w:pPr>
            <w:r>
              <w:rPr>
                <w:rFonts w:ascii="Calibri" w:cs="Calibri" w:hAnsi="Calibri"/>
              </w:rPr>
              <w:t xml:space="preserve">MODONESI, M. (2010) </w:t>
            </w:r>
            <w:r>
              <w:rPr>
                <w:rFonts w:ascii="Calibri" w:cs="Calibri" w:hAnsi="Calibri"/>
                <w:i/>
              </w:rPr>
              <w:t>Subalternidad, antagonismo y autonomía. Marxismo y subjetivación política</w:t>
            </w:r>
            <w:r>
              <w:rPr>
                <w:rFonts w:ascii="Calibri" w:cs="Calibri" w:hAnsi="Calibri"/>
              </w:rPr>
              <w:t>. Buenos Aires: Prometeo-CLACSO-UBA.</w:t>
            </w:r>
          </w:p>
          <w:p>
            <w:pPr>
              <w:pStyle w:val="style34"/>
              <w:spacing w:after="28" w:before="28"/>
            </w:pPr>
            <w:r>
              <w:rPr>
                <w:rFonts w:ascii="Calibri" w:cs="Calibri" w:hAnsi="Calibri"/>
              </w:rPr>
              <w:t xml:space="preserve">GARCÍA LINERA, Álvaro (2008) </w:t>
            </w:r>
            <w:r>
              <w:rPr>
                <w:rFonts w:ascii="Calibri" w:cs="Calibri" w:hAnsi="Calibri"/>
                <w:i/>
              </w:rPr>
              <w:t xml:space="preserve">La democracia plebeya. </w:t>
            </w:r>
            <w:r>
              <w:rPr>
                <w:rFonts w:ascii="Calibri" w:cs="Calibri" w:hAnsi="Calibri"/>
              </w:rPr>
              <w:t>Acción colectiva e identidades indígenas, obreras y populares en Bolivia. Buenos Aires: Clacso y Prometeo.</w:t>
            </w:r>
          </w:p>
          <w:p>
            <w:pPr>
              <w:pStyle w:val="style34"/>
              <w:spacing w:after="28" w:before="28"/>
            </w:pPr>
            <w:r>
              <w:rPr>
                <w:rFonts w:ascii="Calibri" w:cs="Calibri" w:hAnsi="Calibri"/>
              </w:rPr>
              <w:t xml:space="preserve">RANCIERE, Jacques (2010) </w:t>
            </w:r>
            <w:r>
              <w:rPr>
                <w:rFonts w:ascii="Calibri" w:cs="Calibri" w:hAnsi="Calibri"/>
                <w:i/>
              </w:rPr>
              <w:t>Momentos Políticos.</w:t>
            </w:r>
            <w:r>
              <w:rPr>
                <w:rFonts w:ascii="Calibri" w:cs="Calibri" w:hAnsi="Calibri"/>
              </w:rPr>
              <w:t xml:space="preserve"> Buenos Aires: Capital Intelectual.</w:t>
            </w:r>
          </w:p>
        </w:tc>
      </w:tr>
    </w:tbl>
    <w:p>
      <w:pPr>
        <w:pStyle w:val="style34"/>
        <w:spacing w:after="28" w:before="28"/>
      </w:pPr>
      <w:r>
        <w:rPr>
          <w:rFonts w:ascii="Calibri" w:cs="Calibri" w:hAnsi="Calibri"/>
        </w:rPr>
      </w:r>
    </w:p>
    <w:p>
      <w:pPr>
        <w:pStyle w:val="style34"/>
        <w:shd w:fill="D9D9D9" w:val="clear"/>
        <w:spacing w:after="28" w:before="28"/>
      </w:pPr>
      <w:r>
        <w:rPr>
          <w:rFonts w:ascii="Calibri" w:cs="Calibri" w:hAnsi="Calibri"/>
          <w:b/>
        </w:rPr>
        <w:t>Otra Bibliografía de Referencia</w:t>
      </w:r>
    </w:p>
    <w:p>
      <w:pPr>
        <w:pStyle w:val="style0"/>
        <w:spacing w:after="0" w:before="0"/>
      </w:pPr>
      <w:r>
        <w:rPr>
          <w:rFonts w:cs="Calibri"/>
          <w:sz w:val="24"/>
          <w:szCs w:val="24"/>
        </w:rPr>
        <w:t xml:space="preserve">Abramson, Pierre-Luc (1999): </w:t>
      </w:r>
      <w:r>
        <w:rPr>
          <w:rStyle w:val="style19"/>
          <w:rFonts w:cs="Calibri"/>
          <w:sz w:val="24"/>
          <w:szCs w:val="24"/>
        </w:rPr>
        <w:t xml:space="preserve">Las utopías sociales en América Latina en el siglo XIX . </w:t>
      </w:r>
      <w:r>
        <w:rPr>
          <w:rFonts w:cs="Calibri"/>
          <w:sz w:val="24"/>
          <w:szCs w:val="24"/>
          <w:lang w:val="en-US"/>
        </w:rPr>
        <w:t>México.</w:t>
        <w:br/>
        <w:t xml:space="preserve">Bauman, Z. (2005): </w:t>
      </w:r>
      <w:r>
        <w:rPr>
          <w:rStyle w:val="style19"/>
          <w:rFonts w:cs="Calibri"/>
          <w:sz w:val="24"/>
          <w:szCs w:val="24"/>
          <w:lang w:val="en-US"/>
        </w:rPr>
        <w:t>Identidad.</w:t>
      </w:r>
      <w:r>
        <w:rPr>
          <w:rFonts w:cs="Calibri"/>
          <w:sz w:val="24"/>
          <w:szCs w:val="24"/>
          <w:lang w:val="en-US"/>
        </w:rPr>
        <w:t xml:space="preserve"> Buenos Aires.</w:t>
        <w:br/>
        <w:t xml:space="preserve">Beck, U. (1986): </w:t>
      </w:r>
      <w:r>
        <w:rPr>
          <w:rStyle w:val="style19"/>
          <w:rFonts w:cs="Calibri"/>
          <w:sz w:val="24"/>
          <w:szCs w:val="24"/>
          <w:lang w:val="en-US"/>
        </w:rPr>
        <w:t>Risikogesellschaft. Auf dem Weg in eine andere Moderne</w:t>
      </w:r>
      <w:r>
        <w:rPr>
          <w:rFonts w:cs="Calibri"/>
          <w:sz w:val="24"/>
          <w:szCs w:val="24"/>
          <w:lang w:val="en-US"/>
        </w:rPr>
        <w:t xml:space="preserve">. </w:t>
      </w:r>
      <w:r>
        <w:rPr>
          <w:rFonts w:cs="Calibri"/>
          <w:sz w:val="24"/>
          <w:szCs w:val="24"/>
        </w:rPr>
        <w:t>Francfurt</w:t>
        <w:br/>
        <w:t xml:space="preserve">Berman, Marshall (1982): </w:t>
      </w:r>
      <w:r>
        <w:rPr>
          <w:rStyle w:val="style19"/>
          <w:rFonts w:cs="Calibri"/>
          <w:sz w:val="24"/>
          <w:szCs w:val="24"/>
        </w:rPr>
        <w:t>Todo lo sólido de desvanece en el aire. La experiencia de la modernidad</w:t>
      </w:r>
      <w:r>
        <w:rPr>
          <w:rFonts w:cs="Calibri"/>
          <w:sz w:val="24"/>
          <w:szCs w:val="24"/>
        </w:rPr>
        <w:t>. México.</w:t>
        <w:br/>
        <w:t xml:space="preserve">Bourdieu, P. (1997): </w:t>
      </w:r>
      <w:r>
        <w:rPr>
          <w:rStyle w:val="style19"/>
          <w:rFonts w:cs="Calibri"/>
          <w:sz w:val="24"/>
          <w:szCs w:val="24"/>
        </w:rPr>
        <w:t>Razones prácticas</w:t>
      </w:r>
      <w:r>
        <w:rPr>
          <w:rFonts w:cs="Calibri"/>
          <w:sz w:val="24"/>
          <w:szCs w:val="24"/>
        </w:rPr>
        <w:t xml:space="preserve">. </w:t>
      </w:r>
      <w:r>
        <w:rPr>
          <w:rFonts w:cs="Calibri"/>
          <w:sz w:val="24"/>
          <w:szCs w:val="24"/>
          <w:lang w:val="en-US"/>
        </w:rPr>
        <w:t>Barcelona.</w:t>
        <w:br/>
        <w:t xml:space="preserve">Butler, J; Laclau, E.; Zizek, S. (2000) </w:t>
      </w:r>
      <w:r>
        <w:rPr>
          <w:rStyle w:val="style19"/>
          <w:rFonts w:cs="Calibri"/>
          <w:sz w:val="24"/>
          <w:szCs w:val="24"/>
          <w:lang w:val="en-US"/>
        </w:rPr>
        <w:t>Contingency, Hegemony, Universality. Contemporary  dialoges on the left</w:t>
      </w:r>
      <w:r>
        <w:rPr>
          <w:rFonts w:cs="Calibri"/>
          <w:sz w:val="24"/>
          <w:szCs w:val="24"/>
          <w:lang w:val="en-US"/>
        </w:rPr>
        <w:t>”. London...</w:t>
        <w:br/>
        <w:t xml:space="preserve">Erikson,E. (1968): </w:t>
      </w:r>
      <w:r>
        <w:rPr>
          <w:rStyle w:val="style19"/>
          <w:rFonts w:cs="Calibri"/>
          <w:sz w:val="24"/>
          <w:szCs w:val="24"/>
          <w:lang w:val="en-US"/>
        </w:rPr>
        <w:t>Identity,Youth and Crisis</w:t>
      </w:r>
      <w:r>
        <w:rPr>
          <w:rFonts w:cs="Calibri"/>
          <w:sz w:val="24"/>
          <w:szCs w:val="24"/>
          <w:lang w:val="en-US"/>
        </w:rPr>
        <w:t>, London.</w:t>
        <w:br/>
        <w:t xml:space="preserve">Foucault, M., (1975) </w:t>
      </w:r>
      <w:r>
        <w:rPr>
          <w:rStyle w:val="style19"/>
          <w:rFonts w:cs="Calibri"/>
          <w:sz w:val="24"/>
          <w:szCs w:val="24"/>
          <w:lang w:val="en-US"/>
        </w:rPr>
        <w:t xml:space="preserve">Vigilar y castigar. </w:t>
      </w:r>
      <w:r>
        <w:rPr>
          <w:rStyle w:val="style19"/>
          <w:rFonts w:cs="Calibri"/>
          <w:sz w:val="24"/>
          <w:szCs w:val="24"/>
        </w:rPr>
        <w:t>El nacimiento de la prisión</w:t>
      </w:r>
      <w:r>
        <w:rPr>
          <w:rFonts w:cs="Calibri"/>
          <w:sz w:val="24"/>
          <w:szCs w:val="24"/>
        </w:rPr>
        <w:t>. Bs. As.</w:t>
      </w:r>
    </w:p>
    <w:p>
      <w:pPr>
        <w:pStyle w:val="style36"/>
        <w:spacing w:line="276" w:lineRule="auto"/>
        <w:jc w:val="both"/>
      </w:pPr>
      <w:r>
        <w:rPr>
          <w:rFonts w:ascii="Calibri" w:cs="Calibri" w:hAnsi="Calibri"/>
          <w:lang w:val="es-ES"/>
        </w:rPr>
        <w:t xml:space="preserve">Foucault, M. (2007). </w:t>
      </w:r>
      <w:r>
        <w:rPr>
          <w:rFonts w:ascii="Calibri" w:cs="Calibri" w:hAnsi="Calibri"/>
          <w:i/>
          <w:iCs/>
          <w:lang w:val="es-ES"/>
        </w:rPr>
        <w:t>Seguridad, territorio, población</w:t>
      </w:r>
      <w:r>
        <w:rPr>
          <w:rFonts w:ascii="Calibri" w:cs="Calibri" w:hAnsi="Calibri"/>
          <w:lang w:val="es-ES"/>
        </w:rPr>
        <w:t xml:space="preserve"> (2006 ed.). (H. Pons, Trad.) Buenos Aires, Argentina: FCE.</w:t>
      </w:r>
    </w:p>
    <w:p>
      <w:pPr>
        <w:pStyle w:val="style0"/>
        <w:spacing w:after="0" w:before="0"/>
        <w:jc w:val="both"/>
      </w:pPr>
      <w:r>
        <w:rPr>
          <w:rFonts w:cs="Calibri"/>
          <w:sz w:val="24"/>
          <w:szCs w:val="24"/>
        </w:rPr>
        <w:t>Foucault, Michel: (1992) “Las redes del poder”. Ed. Almagesto. Bs. As.</w:t>
      </w:r>
    </w:p>
    <w:p>
      <w:pPr>
        <w:pStyle w:val="style0"/>
        <w:spacing w:after="0" w:before="0"/>
      </w:pPr>
      <w:r>
        <w:rPr>
          <w:rFonts w:cs="Calibri"/>
          <w:sz w:val="24"/>
          <w:szCs w:val="24"/>
        </w:rPr>
        <w:t xml:space="preserve">Garcia Canclini, N., (1989): </w:t>
      </w:r>
      <w:r>
        <w:rPr>
          <w:rStyle w:val="style19"/>
          <w:rFonts w:cs="Calibri"/>
          <w:sz w:val="24"/>
          <w:szCs w:val="24"/>
        </w:rPr>
        <w:t>Culturas híbridas: estrategias para entrar y salir de la modernidad</w:t>
      </w:r>
      <w:r>
        <w:rPr>
          <w:rFonts w:cs="Calibri"/>
          <w:sz w:val="24"/>
          <w:szCs w:val="24"/>
        </w:rPr>
        <w:t xml:space="preserve">. México. </w:t>
        <w:br/>
        <w:t xml:space="preserve">Germani, Gino (1966): </w:t>
      </w:r>
      <w:r>
        <w:rPr>
          <w:rStyle w:val="style19"/>
          <w:rFonts w:cs="Calibri"/>
          <w:sz w:val="24"/>
          <w:szCs w:val="24"/>
        </w:rPr>
        <w:t>Estudios sobre sociología y psicología social</w:t>
      </w:r>
      <w:r>
        <w:rPr>
          <w:rFonts w:cs="Calibri"/>
          <w:sz w:val="24"/>
          <w:szCs w:val="24"/>
        </w:rPr>
        <w:t>. Buenos Aires.</w:t>
        <w:br/>
      </w:r>
      <w:r>
        <w:rPr>
          <w:rFonts w:cs="Calibri"/>
          <w:sz w:val="24"/>
          <w:szCs w:val="24"/>
          <w:lang w:val="en-US"/>
        </w:rPr>
        <w:t xml:space="preserve">Giddens, Anthony (1991): </w:t>
      </w:r>
      <w:r>
        <w:rPr>
          <w:rStyle w:val="style19"/>
          <w:rFonts w:cs="Calibri"/>
          <w:sz w:val="24"/>
          <w:szCs w:val="24"/>
          <w:lang w:val="en-US"/>
        </w:rPr>
        <w:t xml:space="preserve">Modernity and self-identity : self and society in the late modern age. </w:t>
      </w:r>
      <w:r>
        <w:rPr>
          <w:rFonts w:cs="Calibri"/>
          <w:sz w:val="24"/>
          <w:szCs w:val="24"/>
        </w:rPr>
        <w:t>Cambridge.</w:t>
        <w:br/>
        <w:t xml:space="preserve">Habermas, J. (1999): </w:t>
      </w:r>
      <w:r>
        <w:rPr>
          <w:rStyle w:val="style19"/>
          <w:rFonts w:cs="Calibri"/>
          <w:sz w:val="24"/>
          <w:szCs w:val="24"/>
        </w:rPr>
        <w:t>La inclusión del otro. Estudio de teoría política</w:t>
      </w:r>
      <w:r>
        <w:rPr>
          <w:rFonts w:cs="Calibri"/>
          <w:sz w:val="24"/>
          <w:szCs w:val="24"/>
        </w:rPr>
        <w:t>. Barcelona.</w:t>
        <w:br/>
        <w:t xml:space="preserve">Honneth, A., 2007: </w:t>
      </w:r>
      <w:r>
        <w:rPr>
          <w:rFonts w:cs="Calibri"/>
          <w:i/>
          <w:sz w:val="24"/>
          <w:szCs w:val="24"/>
        </w:rPr>
        <w:t xml:space="preserve">Reificación. Un estudio en la teoría del reconocimiento. </w:t>
      </w:r>
      <w:r>
        <w:rPr>
          <w:rFonts w:cs="Calibri"/>
          <w:sz w:val="24"/>
          <w:szCs w:val="24"/>
        </w:rPr>
        <w:t>Katz, Buenos Aires</w:t>
      </w:r>
    </w:p>
    <w:p>
      <w:pPr>
        <w:pStyle w:val="style36"/>
        <w:spacing w:line="276" w:lineRule="auto"/>
        <w:jc w:val="both"/>
      </w:pPr>
      <w:r>
        <w:rPr>
          <w:rFonts w:ascii="Calibri" w:cs="Calibri" w:hAnsi="Calibri"/>
        </w:rPr>
        <w:t xml:space="preserve">Larrain, J. (2004): </w:t>
      </w:r>
      <w:r>
        <w:rPr>
          <w:rStyle w:val="style19"/>
          <w:rFonts w:ascii="Calibri" w:cs="Calibri" w:hAnsi="Calibri"/>
        </w:rPr>
        <w:t>Identidad y Modernidad en América latina</w:t>
      </w:r>
      <w:r>
        <w:rPr>
          <w:rFonts w:ascii="Calibri" w:cs="Calibri" w:hAnsi="Calibri"/>
        </w:rPr>
        <w:t>. Santiago.</w:t>
        <w:br/>
        <w:t xml:space="preserve">Lazaratto, M. (2006) </w:t>
      </w:r>
      <w:r>
        <w:rPr>
          <w:rFonts w:ascii="Calibri" w:cs="Calibri" w:hAnsi="Calibri"/>
          <w:i/>
        </w:rPr>
        <w:t>Políticas del acontecimiento</w:t>
      </w:r>
      <w:r>
        <w:rPr>
          <w:rFonts w:ascii="Calibri" w:cs="Calibri" w:hAnsi="Calibri"/>
        </w:rPr>
        <w:t>. Buenos Aires. Tinta Limón Ediciones.</w:t>
      </w:r>
    </w:p>
    <w:p>
      <w:pPr>
        <w:pStyle w:val="style0"/>
        <w:spacing w:after="0" w:before="0"/>
        <w:jc w:val="both"/>
      </w:pPr>
      <w:r>
        <w:rPr>
          <w:rFonts w:cs="Calibri"/>
          <w:sz w:val="24"/>
          <w:szCs w:val="24"/>
        </w:rPr>
        <w:t>Luhmann (1982) (1982) “conflitto e diritto”, en Laboratorio Político, n. 1.</w:t>
      </w:r>
    </w:p>
    <w:p>
      <w:pPr>
        <w:pStyle w:val="style0"/>
        <w:spacing w:after="0" w:before="0"/>
        <w:jc w:val="both"/>
      </w:pPr>
      <w:r>
        <w:rPr>
          <w:rFonts w:cs="Calibri"/>
          <w:sz w:val="24"/>
          <w:szCs w:val="24"/>
        </w:rPr>
        <w:t xml:space="preserve">Luhmann, Niklas (1996): </w:t>
      </w:r>
      <w:r>
        <w:rPr>
          <w:rStyle w:val="style19"/>
          <w:rFonts w:cs="Calibri"/>
          <w:sz w:val="24"/>
          <w:szCs w:val="24"/>
        </w:rPr>
        <w:t>Sistemas sociales. Lineamientos para una teoría general</w:t>
      </w:r>
      <w:r>
        <w:rPr>
          <w:rFonts w:cs="Calibri"/>
          <w:sz w:val="24"/>
          <w:szCs w:val="24"/>
        </w:rPr>
        <w:t>. México.</w:t>
        <w:br/>
        <w:t>MacIntyre, A., (1988) :</w:t>
      </w:r>
      <w:r>
        <w:rPr>
          <w:rStyle w:val="style19"/>
          <w:rFonts w:cs="Calibri"/>
          <w:sz w:val="24"/>
          <w:szCs w:val="24"/>
        </w:rPr>
        <w:t>Tras la virtud</w:t>
      </w:r>
      <w:r>
        <w:rPr>
          <w:rFonts w:cs="Calibri"/>
          <w:sz w:val="24"/>
          <w:szCs w:val="24"/>
        </w:rPr>
        <w:t>, Barcelona.</w:t>
      </w:r>
    </w:p>
    <w:p>
      <w:pPr>
        <w:pStyle w:val="style0"/>
        <w:spacing w:after="0" w:before="0"/>
        <w:jc w:val="both"/>
      </w:pPr>
      <w:r>
        <w:rPr>
          <w:rFonts w:cs="Calibri"/>
          <w:sz w:val="24"/>
          <w:szCs w:val="24"/>
        </w:rPr>
        <w:t xml:space="preserve">Melucci, Antonio (1994) “Asumir un compromiso: identidad y movilización en los movimientos sociales”. Zona Abierta 69: 153-180. </w:t>
      </w:r>
    </w:p>
    <w:p>
      <w:pPr>
        <w:pStyle w:val="style0"/>
        <w:spacing w:after="0" w:before="0"/>
        <w:jc w:val="both"/>
      </w:pPr>
      <w:r>
        <w:rPr>
          <w:rFonts w:cs="Calibri"/>
          <w:sz w:val="24"/>
          <w:szCs w:val="24"/>
        </w:rPr>
        <w:t xml:space="preserve">Quijano, A. (1988): </w:t>
      </w:r>
      <w:r>
        <w:rPr>
          <w:rStyle w:val="style19"/>
          <w:rFonts w:cs="Calibri"/>
          <w:sz w:val="24"/>
          <w:szCs w:val="24"/>
        </w:rPr>
        <w:t>Modernidad, identidad y utopía en América latina</w:t>
      </w:r>
      <w:r>
        <w:rPr>
          <w:rFonts w:cs="Calibri"/>
          <w:sz w:val="24"/>
          <w:szCs w:val="24"/>
        </w:rPr>
        <w:t>. Lima</w:t>
        <w:br/>
        <w:t xml:space="preserve">Taylor, Ch., (1996), </w:t>
      </w:r>
      <w:r>
        <w:rPr>
          <w:rStyle w:val="style19"/>
          <w:rFonts w:cs="Calibri"/>
          <w:sz w:val="24"/>
          <w:szCs w:val="24"/>
        </w:rPr>
        <w:t>Fuentes del yo. La construcción de la identidad moderna</w:t>
      </w:r>
      <w:r>
        <w:rPr>
          <w:rFonts w:cs="Calibri"/>
          <w:sz w:val="24"/>
          <w:szCs w:val="24"/>
        </w:rPr>
        <w:t>, Barcelona</w:t>
        <w:br/>
        <w:t xml:space="preserve">Weber, Max (1969): “Conceptos sociológicos fundamentales”. En </w:t>
      </w:r>
      <w:r>
        <w:rPr>
          <w:rStyle w:val="style19"/>
          <w:rFonts w:cs="Calibri"/>
          <w:sz w:val="24"/>
          <w:szCs w:val="24"/>
        </w:rPr>
        <w:t>Economía y sociedad,</w:t>
      </w:r>
      <w:r>
        <w:rPr>
          <w:rFonts w:cs="Calibri"/>
          <w:sz w:val="24"/>
          <w:szCs w:val="24"/>
        </w:rPr>
        <w:t xml:space="preserve"> tomo I. México.</w:t>
      </w:r>
    </w:p>
    <w:p>
      <w:pPr>
        <w:pStyle w:val="style0"/>
        <w:spacing w:after="0" w:before="0"/>
      </w:pPr>
      <w:r>
        <w:rPr>
          <w:rFonts w:cs="Calibri"/>
          <w:sz w:val="24"/>
          <w:szCs w:val="24"/>
        </w:rPr>
        <w:t>Zizek, S. (1991) “Identidad e identificación”, en El sublime objeto de la ideología, México</w:t>
      </w:r>
    </w:p>
    <w:sectPr>
      <w:footerReference r:id="rId3" w:type="default"/>
      <w:type w:val="nextPage"/>
      <w:pgSz w:h="15840" w:w="12240"/>
      <w:pgMar w:bottom="1417" w:footer="708" w:gutter="0" w:header="0" w:left="1701" w:right="1701" w:top="1417"/>
      <w:pgNumType w:fmt="decimal"/>
      <w:formProt w:val="false"/>
      <w:textDirection w:val="lrTb"/>
      <w:docGrid w:charSpace="-2049"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8"/>
    </w:pPr>
    <w:r>
      <w:rPr/>
      <w:fldChar w:fldCharType="begin"/>
    </w:r>
    <w:r>
      <w:instrText> PAGE </w:instrText>
    </w:r>
    <w:r>
      <w:fldChar w:fldCharType="separate"/>
    </w:r>
    <w:r>
      <w:t>Números de páginas</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tyles.xml><?xml version="1.0" encoding="utf-8"?>
<w:styles xmlns:w="http://schemas.openxmlformats.org/wordprocessingml/2006/main">
  <w:style w:styleId="style0" w:type="paragraph">
    <w:name w:val="Padrão"/>
    <w:next w:val="style0"/>
    <w:pPr>
      <w:widowControl/>
      <w:tabs>
        <w:tab w:leader="none" w:pos="708" w:val="left"/>
      </w:tabs>
      <w:suppressAutoHyphens w:val="true"/>
      <w:spacing w:after="200" w:before="0" w:line="276" w:lineRule="auto"/>
    </w:pPr>
    <w:rPr>
      <w:rFonts w:ascii="Calibri" w:cs="Times New Roman" w:eastAsia="Calibri" w:hAnsi="Calibri"/>
      <w:color w:val="auto"/>
      <w:sz w:val="22"/>
      <w:szCs w:val="22"/>
      <w:lang w:bidi="ar-SA" w:eastAsia="en-US" w:val="es-AR"/>
    </w:rPr>
  </w:style>
  <w:style w:styleId="style3" w:type="paragraph">
    <w:name w:val="Título 3"/>
    <w:basedOn w:val="style0"/>
    <w:next w:val="style29"/>
    <w:pPr>
      <w:numPr>
        <w:ilvl w:val="2"/>
        <w:numId w:val="1"/>
      </w:numPr>
      <w:spacing w:after="28" w:before="28" w:line="100" w:lineRule="atLeast"/>
      <w:outlineLvl w:val="2"/>
    </w:pPr>
    <w:rPr>
      <w:rFonts w:ascii="Times New Roman" w:eastAsia="Times New Roman" w:hAnsi="Times New Roman"/>
      <w:b/>
      <w:bCs/>
      <w:sz w:val="27"/>
      <w:szCs w:val="27"/>
      <w:lang w:eastAsia="es-AR"/>
    </w:rPr>
  </w:style>
  <w:style w:styleId="style15" w:type="character">
    <w:name w:val="Default Paragraph Font"/>
    <w:next w:val="style15"/>
    <w:rPr/>
  </w:style>
  <w:style w:styleId="style16" w:type="character">
    <w:name w:val="Título 3 Car"/>
    <w:basedOn w:val="style15"/>
    <w:next w:val="style16"/>
    <w:rPr>
      <w:rFonts w:ascii="Times New Roman" w:cs="Times New Roman" w:eastAsia="Times New Roman" w:hAnsi="Times New Roman"/>
      <w:b/>
      <w:bCs/>
      <w:sz w:val="27"/>
      <w:szCs w:val="27"/>
      <w:lang w:eastAsia="es-AR"/>
    </w:rPr>
  </w:style>
  <w:style w:styleId="style17" w:type="character">
    <w:name w:val="Link da Internet"/>
    <w:basedOn w:val="style15"/>
    <w:next w:val="style17"/>
    <w:rPr>
      <w:color w:val="0000FF"/>
      <w:u w:val="single"/>
      <w:lang w:bidi="pt-BR" w:eastAsia="pt-BR" w:val="pt-BR"/>
    </w:rPr>
  </w:style>
  <w:style w:styleId="style18" w:type="character">
    <w:name w:val="Ênfase forte"/>
    <w:basedOn w:val="style15"/>
    <w:next w:val="style18"/>
    <w:rPr>
      <w:b/>
      <w:bCs/>
    </w:rPr>
  </w:style>
  <w:style w:styleId="style19" w:type="character">
    <w:name w:val="Ênfase"/>
    <w:basedOn w:val="style15"/>
    <w:next w:val="style19"/>
    <w:rPr>
      <w:i/>
      <w:iCs/>
    </w:rPr>
  </w:style>
  <w:style w:styleId="style20" w:type="character">
    <w:name w:val="Texto nota pie Car"/>
    <w:basedOn w:val="style15"/>
    <w:next w:val="style20"/>
    <w:rPr>
      <w:rFonts w:ascii="Times New Roman" w:cs="Times New Roman" w:eastAsia="Times New Roman" w:hAnsi="Times New Roman"/>
      <w:sz w:val="20"/>
      <w:szCs w:val="20"/>
      <w:lang w:eastAsia="es-ES" w:val="es-ES"/>
    </w:rPr>
  </w:style>
  <w:style w:styleId="style21" w:type="character">
    <w:name w:val="Texto independiente Car"/>
    <w:basedOn w:val="style15"/>
    <w:next w:val="style21"/>
    <w:rPr>
      <w:rFonts w:ascii="Times New Roman" w:cs="Times New Roman" w:eastAsia="Times New Roman" w:hAnsi="Times New Roman"/>
      <w:sz w:val="24"/>
      <w:szCs w:val="24"/>
      <w:lang w:eastAsia="es-ES" w:val="es-ES"/>
    </w:rPr>
  </w:style>
  <w:style w:styleId="style22" w:type="character">
    <w:name w:val="FollowedHyperlink"/>
    <w:basedOn w:val="style15"/>
    <w:next w:val="style22"/>
    <w:rPr>
      <w:color w:val="800080"/>
      <w:u w:val="single"/>
    </w:rPr>
  </w:style>
  <w:style w:styleId="style23" w:type="character">
    <w:name w:val="Encabezado Car"/>
    <w:basedOn w:val="style15"/>
    <w:next w:val="style23"/>
    <w:rPr>
      <w:sz w:val="22"/>
      <w:szCs w:val="22"/>
      <w:lang w:eastAsia="en-US" w:val="es-AR"/>
    </w:rPr>
  </w:style>
  <w:style w:styleId="style24" w:type="character">
    <w:name w:val="Pie de página Car"/>
    <w:basedOn w:val="style15"/>
    <w:next w:val="style24"/>
    <w:rPr>
      <w:sz w:val="22"/>
      <w:szCs w:val="22"/>
      <w:lang w:eastAsia="en-US" w:val="es-AR"/>
    </w:rPr>
  </w:style>
  <w:style w:styleId="style25" w:type="character">
    <w:name w:val="apple-converted-space"/>
    <w:basedOn w:val="style15"/>
    <w:next w:val="style25"/>
    <w:rPr/>
  </w:style>
  <w:style w:styleId="style26" w:type="character">
    <w:name w:val="fecha"/>
    <w:basedOn w:val="style15"/>
    <w:next w:val="style26"/>
    <w:rPr/>
  </w:style>
  <w:style w:styleId="style27" w:type="character">
    <w:name w:val="Link da internet visitado"/>
    <w:next w:val="style27"/>
    <w:rPr>
      <w:color w:val="800000"/>
      <w:u w:val="single"/>
      <w:lang w:bidi="pt-BR" w:eastAsia="pt-BR" w:val="pt-BR"/>
    </w:rPr>
  </w:style>
  <w:style w:styleId="style28" w:type="paragraph">
    <w:name w:val="Título"/>
    <w:basedOn w:val="style0"/>
    <w:next w:val="style29"/>
    <w:pPr>
      <w:keepNext/>
      <w:spacing w:after="120" w:before="240"/>
    </w:pPr>
    <w:rPr>
      <w:rFonts w:ascii="Liberation Sans" w:cs="Lohit Hindi" w:eastAsia="WenQuanYi Micro Hei" w:hAnsi="Liberation Sans"/>
      <w:sz w:val="28"/>
      <w:szCs w:val="28"/>
    </w:rPr>
  </w:style>
  <w:style w:styleId="style29" w:type="paragraph">
    <w:name w:val="Corpo de texto"/>
    <w:basedOn w:val="style0"/>
    <w:next w:val="style29"/>
    <w:pPr>
      <w:spacing w:after="0" w:before="0" w:line="100" w:lineRule="atLeast"/>
      <w:jc w:val="both"/>
    </w:pPr>
    <w:rPr>
      <w:rFonts w:ascii="Times New Roman" w:eastAsia="Times New Roman" w:hAnsi="Times New Roman"/>
      <w:sz w:val="24"/>
      <w:szCs w:val="24"/>
      <w:lang w:eastAsia="es-ES" w:val="es-ES"/>
    </w:rPr>
  </w:style>
  <w:style w:styleId="style30" w:type="paragraph">
    <w:name w:val="Lista"/>
    <w:basedOn w:val="style29"/>
    <w:next w:val="style30"/>
    <w:pPr/>
    <w:rPr>
      <w:rFonts w:cs="Lohit Hindi"/>
    </w:rPr>
  </w:style>
  <w:style w:styleId="style31" w:type="paragraph">
    <w:name w:val="Legenda"/>
    <w:basedOn w:val="style0"/>
    <w:next w:val="style31"/>
    <w:pPr>
      <w:suppressLineNumbers/>
      <w:spacing w:after="120" w:before="120"/>
    </w:pPr>
    <w:rPr>
      <w:rFonts w:cs="Lohit Hindi"/>
      <w:i/>
      <w:iCs/>
      <w:sz w:val="24"/>
      <w:szCs w:val="24"/>
    </w:rPr>
  </w:style>
  <w:style w:styleId="style32" w:type="paragraph">
    <w:name w:val="Índice"/>
    <w:basedOn w:val="style0"/>
    <w:next w:val="style32"/>
    <w:pPr>
      <w:suppressLineNumbers/>
    </w:pPr>
    <w:rPr>
      <w:rFonts w:cs="Lohit Hindi"/>
    </w:rPr>
  </w:style>
  <w:style w:styleId="style33" w:type="paragraph">
    <w:name w:val="spip"/>
    <w:basedOn w:val="style0"/>
    <w:next w:val="style33"/>
    <w:pPr>
      <w:spacing w:after="28" w:before="28" w:line="100" w:lineRule="atLeast"/>
    </w:pPr>
    <w:rPr>
      <w:rFonts w:ascii="Times New Roman" w:eastAsia="Times New Roman" w:hAnsi="Times New Roman"/>
      <w:sz w:val="24"/>
      <w:szCs w:val="24"/>
      <w:lang w:eastAsia="es-AR"/>
    </w:rPr>
  </w:style>
  <w:style w:styleId="style34" w:type="paragraph">
    <w:name w:val="Normal (Web)"/>
    <w:basedOn w:val="style0"/>
    <w:next w:val="style34"/>
    <w:pPr>
      <w:spacing w:after="28" w:before="28" w:line="100" w:lineRule="atLeast"/>
    </w:pPr>
    <w:rPr>
      <w:rFonts w:ascii="Times New Roman" w:eastAsia="Times New Roman" w:hAnsi="Times New Roman"/>
      <w:sz w:val="24"/>
      <w:szCs w:val="24"/>
      <w:lang w:eastAsia="es-AR"/>
    </w:rPr>
  </w:style>
  <w:style w:styleId="style35" w:type="paragraph">
    <w:name w:val="footnote text"/>
    <w:basedOn w:val="style0"/>
    <w:next w:val="style35"/>
    <w:pPr>
      <w:spacing w:after="0" w:before="0" w:line="100" w:lineRule="atLeast"/>
    </w:pPr>
    <w:rPr>
      <w:rFonts w:ascii="Times New Roman" w:eastAsia="Times New Roman" w:hAnsi="Times New Roman"/>
      <w:sz w:val="20"/>
      <w:szCs w:val="20"/>
      <w:lang w:eastAsia="es-ES" w:val="es-ES"/>
    </w:rPr>
  </w:style>
  <w:style w:styleId="style36" w:type="paragraph">
    <w:name w:val="Bibliography"/>
    <w:basedOn w:val="style0"/>
    <w:next w:val="style36"/>
    <w:pPr>
      <w:spacing w:after="0" w:before="0" w:line="100" w:lineRule="atLeast"/>
    </w:pPr>
    <w:rPr>
      <w:rFonts w:ascii="Times New Roman" w:eastAsia="Times New Roman" w:hAnsi="Times New Roman"/>
      <w:sz w:val="24"/>
      <w:szCs w:val="24"/>
      <w:lang w:eastAsia="es-ES"/>
    </w:rPr>
  </w:style>
  <w:style w:styleId="style37" w:type="paragraph">
    <w:name w:val="Cabeçalho"/>
    <w:basedOn w:val="style0"/>
    <w:next w:val="style37"/>
    <w:pPr>
      <w:suppressLineNumbers/>
      <w:tabs>
        <w:tab w:leader="none" w:pos="4252" w:val="center"/>
        <w:tab w:leader="none" w:pos="8504" w:val="right"/>
      </w:tabs>
      <w:spacing w:after="0" w:before="0" w:line="100" w:lineRule="atLeast"/>
    </w:pPr>
    <w:rPr/>
  </w:style>
  <w:style w:styleId="style38" w:type="paragraph">
    <w:name w:val="Rodapé"/>
    <w:basedOn w:val="style0"/>
    <w:next w:val="style38"/>
    <w:pPr>
      <w:suppressLineNumbers/>
      <w:tabs>
        <w:tab w:leader="none" w:pos="4252" w:val="center"/>
        <w:tab w:leader="none" w:pos="8504" w:val="right"/>
      </w:tabs>
      <w:spacing w:after="0" w:before="0" w:line="100" w:lineRule="atLeast"/>
    </w:pPr>
    <w:rPr/>
  </w:style>
  <w:style w:styleId="style39" w:type="paragraph">
    <w:name w:val="yiv1658711247msonormal"/>
    <w:basedOn w:val="style0"/>
    <w:next w:val="style39"/>
    <w:pPr>
      <w:spacing w:after="28" w:before="28" w:line="100" w:lineRule="atLeast"/>
    </w:pPr>
    <w:rPr>
      <w:rFonts w:ascii="Times New Roman" w:eastAsia="Times New Roman" w:hAnsi="Times New Roman"/>
      <w:sz w:val="24"/>
      <w:szCs w:val="24"/>
      <w:lang w:eastAsia="es-A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indominio.net/arkitzean/otrascosas/lazzarato.ht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6</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2012-06-25T20:38:00.00Z</dcterms:created>
  <dc:creator>User</dc:creator>
  <cp:lastModifiedBy>Gera</cp:lastModifiedBy>
  <dcterms:modified xsi:type="dcterms:W3CDTF">2012-06-25T20:44:00.00Z</dcterms:modified>
  <cp:revision>3</cp:revision>
</cp:coreProperties>
</file>